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tblLook w:val="04A0" w:firstRow="1" w:lastRow="0" w:firstColumn="1" w:lastColumn="0" w:noHBand="0" w:noVBand="1"/>
      </w:tblPr>
      <w:tblGrid>
        <w:gridCol w:w="1659"/>
        <w:gridCol w:w="9103"/>
      </w:tblGrid>
      <w:tr w:rsidR="00772F77" w:rsidTr="00B46E11">
        <w:tc>
          <w:tcPr>
            <w:tcW w:w="10912" w:type="dxa"/>
            <w:gridSpan w:val="2"/>
            <w:shd w:val="clear" w:color="auto" w:fill="00B0F0"/>
          </w:tcPr>
          <w:p w:rsidR="00772F77" w:rsidRDefault="00772F77" w:rsidP="00772F77">
            <w:pPr>
              <w:jc w:val="center"/>
              <w:rPr>
                <w:b/>
                <w:sz w:val="32"/>
              </w:rPr>
            </w:pPr>
            <w:r w:rsidRPr="00772F77">
              <w:rPr>
                <w:b/>
                <w:sz w:val="32"/>
              </w:rPr>
              <w:t>INFORMACE O OCHRANĚ OSOBNÍCH ÚDAJŮ (GDPR)</w:t>
            </w:r>
          </w:p>
          <w:p w:rsidR="00772F77" w:rsidRPr="00772F77" w:rsidRDefault="00772F77" w:rsidP="00772F77">
            <w:pPr>
              <w:jc w:val="center"/>
              <w:rPr>
                <w:b/>
              </w:rPr>
            </w:pPr>
            <w:r>
              <w:rPr>
                <w:b/>
                <w:sz w:val="32"/>
              </w:rPr>
              <w:t>Záznam o činnostech zpracování</w:t>
            </w:r>
          </w:p>
        </w:tc>
      </w:tr>
      <w:tr w:rsidR="00772F77" w:rsidTr="00B46E11">
        <w:tc>
          <w:tcPr>
            <w:tcW w:w="1668" w:type="dxa"/>
            <w:shd w:val="clear" w:color="auto" w:fill="D9D9D9" w:themeFill="background1" w:themeFillShade="D9"/>
          </w:tcPr>
          <w:p w:rsidR="00772F77" w:rsidRPr="002F24EF" w:rsidRDefault="00772F77">
            <w:pPr>
              <w:rPr>
                <w:b/>
                <w:i/>
              </w:rPr>
            </w:pPr>
            <w:r w:rsidRPr="002F24EF">
              <w:rPr>
                <w:b/>
                <w:i/>
              </w:rPr>
              <w:t>Správce:</w:t>
            </w:r>
          </w:p>
        </w:tc>
        <w:tc>
          <w:tcPr>
            <w:tcW w:w="9244" w:type="dxa"/>
          </w:tcPr>
          <w:p w:rsidR="00772F77" w:rsidRPr="00B46E11" w:rsidRDefault="00772F77">
            <w:pPr>
              <w:rPr>
                <w:b/>
                <w:sz w:val="24"/>
              </w:rPr>
            </w:pPr>
            <w:r w:rsidRPr="00B46E11">
              <w:rPr>
                <w:b/>
                <w:sz w:val="24"/>
              </w:rPr>
              <w:t>Centrální nákup, příspěvková organizace</w:t>
            </w:r>
          </w:p>
          <w:p w:rsidR="00772F77" w:rsidRDefault="00772F77">
            <w:r>
              <w:t>IČO: 72046635</w:t>
            </w:r>
          </w:p>
          <w:p w:rsidR="00772F77" w:rsidRDefault="00772F77" w:rsidP="00E960BA">
            <w:r>
              <w:t>Sídlo: Vejprnická 663/56, 318 00 Plzeň</w:t>
            </w:r>
            <w:r w:rsidR="001B64A7">
              <w:t xml:space="preserve">                                                     </w:t>
            </w:r>
            <w:r w:rsidR="00E960BA">
              <w:t xml:space="preserve">                           </w:t>
            </w:r>
            <w:r w:rsidR="001B64A7">
              <w:t xml:space="preserve"> </w:t>
            </w:r>
            <w:proofErr w:type="gramStart"/>
            <w:r w:rsidR="001B64A7">
              <w:t>Č.j</w:t>
            </w:r>
            <w:r w:rsidR="00E960BA">
              <w:t>.</w:t>
            </w:r>
            <w:proofErr w:type="gramEnd"/>
            <w:r w:rsidR="00E960BA">
              <w:t xml:space="preserve"> 3426/19/CN</w:t>
            </w:r>
          </w:p>
        </w:tc>
      </w:tr>
      <w:tr w:rsidR="00772F77" w:rsidTr="00B46E11">
        <w:tc>
          <w:tcPr>
            <w:tcW w:w="1668" w:type="dxa"/>
            <w:tcBorders>
              <w:bottom w:val="single" w:sz="4" w:space="0" w:color="auto"/>
            </w:tcBorders>
            <w:shd w:val="clear" w:color="auto" w:fill="D9D9D9" w:themeFill="background1" w:themeFillShade="D9"/>
          </w:tcPr>
          <w:p w:rsidR="00772F77" w:rsidRPr="002F24EF" w:rsidRDefault="00772F77">
            <w:pPr>
              <w:rPr>
                <w:b/>
                <w:i/>
              </w:rPr>
            </w:pPr>
            <w:r w:rsidRPr="002F24EF">
              <w:rPr>
                <w:b/>
                <w:i/>
              </w:rPr>
              <w:t>Statutární zástupce:</w:t>
            </w:r>
          </w:p>
        </w:tc>
        <w:tc>
          <w:tcPr>
            <w:tcW w:w="9244" w:type="dxa"/>
            <w:tcBorders>
              <w:bottom w:val="single" w:sz="4" w:space="0" w:color="auto"/>
            </w:tcBorders>
          </w:tcPr>
          <w:p w:rsidR="00772F77" w:rsidRDefault="00772F77">
            <w:r>
              <w:t>Mgr. et Bc. Jana Dubcová, ředitelka</w:t>
            </w:r>
          </w:p>
        </w:tc>
      </w:tr>
      <w:tr w:rsidR="00772F77" w:rsidTr="00B46E11">
        <w:tc>
          <w:tcPr>
            <w:tcW w:w="10912" w:type="dxa"/>
            <w:gridSpan w:val="2"/>
            <w:shd w:val="clear" w:color="auto" w:fill="FFFF00"/>
          </w:tcPr>
          <w:p w:rsidR="00772F77" w:rsidRPr="00811C9D" w:rsidRDefault="00772F77" w:rsidP="00772F77">
            <w:pPr>
              <w:pStyle w:val="Odstavecseseznamem"/>
              <w:numPr>
                <w:ilvl w:val="0"/>
                <w:numId w:val="1"/>
              </w:numPr>
              <w:rPr>
                <w:b/>
              </w:rPr>
            </w:pPr>
            <w:r w:rsidRPr="00811C9D">
              <w:rPr>
                <w:b/>
                <w:sz w:val="24"/>
              </w:rPr>
              <w:t>Účely zpracování osobních údajů</w:t>
            </w:r>
          </w:p>
        </w:tc>
      </w:tr>
      <w:tr w:rsidR="00772F77" w:rsidTr="00772F77">
        <w:tc>
          <w:tcPr>
            <w:tcW w:w="10912" w:type="dxa"/>
            <w:gridSpan w:val="2"/>
          </w:tcPr>
          <w:p w:rsidR="00772F77" w:rsidRDefault="00772F77">
            <w:r>
              <w:t xml:space="preserve">Centrální nákup, příspěvková organizace (CN) je </w:t>
            </w:r>
            <w:r w:rsidRPr="00772F77">
              <w:rPr>
                <w:b/>
              </w:rPr>
              <w:t>správcem</w:t>
            </w:r>
            <w:r>
              <w:t xml:space="preserve"> osobních údajů, které zpracovává</w:t>
            </w:r>
            <w:r w:rsidR="00811C9D">
              <w:t xml:space="preserve"> v oblasti </w:t>
            </w:r>
            <w:r w:rsidR="00811C9D" w:rsidRPr="00811C9D">
              <w:rPr>
                <w:b/>
              </w:rPr>
              <w:t>veřejných zakázek</w:t>
            </w:r>
            <w:r>
              <w:t xml:space="preserve">: </w:t>
            </w:r>
          </w:p>
          <w:p w:rsidR="00772F77" w:rsidRDefault="00772F77" w:rsidP="00772F77">
            <w:pPr>
              <w:pStyle w:val="Odstavecseseznamem"/>
              <w:numPr>
                <w:ilvl w:val="0"/>
                <w:numId w:val="2"/>
              </w:numPr>
            </w:pPr>
            <w:r>
              <w:t>v centralizovaných veřejných zakázkách podlimitních, nadlimitních a malého rozsahu</w:t>
            </w:r>
          </w:p>
          <w:p w:rsidR="00772F77" w:rsidRDefault="00772F77" w:rsidP="00772F77">
            <w:pPr>
              <w:pStyle w:val="Odstavecseseznamem"/>
              <w:numPr>
                <w:ilvl w:val="0"/>
                <w:numId w:val="2"/>
              </w:numPr>
            </w:pPr>
            <w:r>
              <w:t>ve veřejných zakázkách, které zadává samostatně jako zadavatel.</w:t>
            </w:r>
          </w:p>
          <w:p w:rsidR="00945DE5" w:rsidRDefault="00945DE5" w:rsidP="00945DE5"/>
          <w:p w:rsidR="00945DE5" w:rsidRDefault="00945DE5" w:rsidP="00945DE5">
            <w:pPr>
              <w:jc w:val="both"/>
            </w:pPr>
            <w:r>
              <w:t>Povinnost zadavatel ke zpracování osobních údajů v zadávacím řízení vyplývá přímo ze zákona č. 134/2016 Sb., o zadávání veřejných zakázek, v platném znění. Zpracování těchto osobních údajů je nezbytné pro splnění právní povinnosti správce, tedy pro řádné zadání veřejné zakázky.</w:t>
            </w:r>
          </w:p>
        </w:tc>
      </w:tr>
      <w:tr w:rsidR="00772F77" w:rsidTr="00772F77">
        <w:tc>
          <w:tcPr>
            <w:tcW w:w="10912" w:type="dxa"/>
            <w:gridSpan w:val="2"/>
          </w:tcPr>
          <w:p w:rsidR="00772F77" w:rsidRDefault="00772F77">
            <w:r>
              <w:t xml:space="preserve">CN je </w:t>
            </w:r>
            <w:r w:rsidRPr="00772F77">
              <w:rPr>
                <w:b/>
              </w:rPr>
              <w:t>zpracovatelem</w:t>
            </w:r>
            <w:r>
              <w:t xml:space="preserve"> osobních údajů, které získá v rámci administrace </w:t>
            </w:r>
            <w:r w:rsidRPr="00811C9D">
              <w:rPr>
                <w:b/>
              </w:rPr>
              <w:t>veřejných zakázek</w:t>
            </w:r>
            <w:r>
              <w:t xml:space="preserve"> pro jiné zadavatele.</w:t>
            </w:r>
          </w:p>
          <w:p w:rsidR="00811C9D" w:rsidRDefault="00811C9D"/>
          <w:p w:rsidR="00811C9D" w:rsidRDefault="00811C9D" w:rsidP="00620D49">
            <w:pPr>
              <w:jc w:val="both"/>
            </w:pPr>
            <w:r>
              <w:t>CN je oprávněn zpracovávat osobní údaje na základě zákona č. 134/2016 Sb., o zadávání veřejných zakázek, v platném znění a dalších prováděcích předpisů.</w:t>
            </w:r>
          </w:p>
          <w:p w:rsidR="00620D49" w:rsidRDefault="00620D49" w:rsidP="00620D49">
            <w:pPr>
              <w:jc w:val="both"/>
            </w:pPr>
            <w:r>
              <w:t>Administrátor CN uzavírá se zadavateli smlouvu o zpracování osobních údajů, která je součástí příkazní smlouvy o zastoupení zadavatele</w:t>
            </w:r>
            <w:r w:rsidR="00945DE5">
              <w:t xml:space="preserve"> dle § 43 ZZVZ</w:t>
            </w:r>
            <w:r>
              <w:t>. Smlouva o zpracování je uzavřena v souladu se zákonem č. 110/2019 Sb., o zpracování osobních údajů.</w:t>
            </w:r>
          </w:p>
        </w:tc>
      </w:tr>
      <w:tr w:rsidR="00772F77" w:rsidTr="00B46E11">
        <w:tc>
          <w:tcPr>
            <w:tcW w:w="10912" w:type="dxa"/>
            <w:gridSpan w:val="2"/>
            <w:tcBorders>
              <w:bottom w:val="single" w:sz="4" w:space="0" w:color="auto"/>
            </w:tcBorders>
          </w:tcPr>
          <w:p w:rsidR="00772F77" w:rsidRDefault="00772F77">
            <w:r>
              <w:t xml:space="preserve">CN je </w:t>
            </w:r>
            <w:r w:rsidRPr="00811C9D">
              <w:rPr>
                <w:b/>
              </w:rPr>
              <w:t>správcem</w:t>
            </w:r>
            <w:r>
              <w:t xml:space="preserve"> osobních údajů při zajišťování agendy v</w:t>
            </w:r>
            <w:r w:rsidR="00811C9D">
              <w:t> </w:t>
            </w:r>
            <w:r>
              <w:t>oblasti personalistiky:</w:t>
            </w:r>
          </w:p>
          <w:p w:rsidR="00772F77" w:rsidRDefault="00772F77" w:rsidP="00772F77">
            <w:pPr>
              <w:pStyle w:val="Odstavecseseznamem"/>
              <w:numPr>
                <w:ilvl w:val="0"/>
                <w:numId w:val="2"/>
              </w:numPr>
            </w:pPr>
            <w:r>
              <w:t>pracovní smlouvy</w:t>
            </w:r>
          </w:p>
          <w:p w:rsidR="00772F77" w:rsidRDefault="00772F77" w:rsidP="00772F77">
            <w:pPr>
              <w:pStyle w:val="Odstavecseseznamem"/>
              <w:numPr>
                <w:ilvl w:val="0"/>
                <w:numId w:val="2"/>
              </w:numPr>
            </w:pPr>
            <w:r>
              <w:t>dohody o pracích konaných mimo pracovní poměr</w:t>
            </w:r>
          </w:p>
          <w:p w:rsidR="00772F77" w:rsidRDefault="00772F77" w:rsidP="00772F77">
            <w:pPr>
              <w:pStyle w:val="Odstavecseseznamem"/>
              <w:numPr>
                <w:ilvl w:val="0"/>
                <w:numId w:val="2"/>
              </w:numPr>
            </w:pPr>
            <w:r>
              <w:t>osobní spisy zaměstnanců</w:t>
            </w:r>
          </w:p>
          <w:p w:rsidR="00772F77" w:rsidRDefault="00772F77" w:rsidP="00772F77">
            <w:pPr>
              <w:pStyle w:val="Odstavecseseznamem"/>
              <w:numPr>
                <w:ilvl w:val="0"/>
                <w:numId w:val="2"/>
              </w:numPr>
            </w:pPr>
            <w:r>
              <w:t>práva a povinnosti z</w:t>
            </w:r>
            <w:r w:rsidR="00811C9D">
              <w:t> </w:t>
            </w:r>
            <w:r>
              <w:t>pracovních poměrů</w:t>
            </w:r>
          </w:p>
          <w:p w:rsidR="00811C9D" w:rsidRDefault="00811C9D" w:rsidP="00811C9D"/>
          <w:p w:rsidR="00811C9D" w:rsidRDefault="00811C9D" w:rsidP="00945DE5">
            <w:pPr>
              <w:jc w:val="both"/>
            </w:pPr>
            <w:r>
              <w:t>CN je oprávněn zpracovávat pracovněprávní agendu na základě zákona č. 262/2006 Sb., zákoníku práce, prováděcích předpisů, zákona č. 250/2000 Sb., o rozpočtových pravidlech územních rozpočtů, zákona č. 129/2000 Sb., o krajích, a dalších souvisejících předpisů, vše v platném znění.</w:t>
            </w:r>
          </w:p>
          <w:p w:rsidR="00620D49" w:rsidRDefault="00620D49" w:rsidP="00811C9D"/>
          <w:p w:rsidR="00620D49" w:rsidRDefault="00620D49" w:rsidP="00620D49">
            <w:pPr>
              <w:jc w:val="both"/>
            </w:pPr>
            <w:r w:rsidRPr="00620D49">
              <w:rPr>
                <w:b/>
              </w:rPr>
              <w:t>Osobními údaji</w:t>
            </w:r>
            <w:r>
              <w:t xml:space="preserve"> se v souladu s čl. 4 odst. 1 GDPR rozumí „</w:t>
            </w:r>
            <w:r w:rsidRPr="00620D49">
              <w:rPr>
                <w:i/>
              </w:rPr>
              <w:t>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t>“.</w:t>
            </w:r>
          </w:p>
          <w:p w:rsidR="00620D49" w:rsidRDefault="00620D49" w:rsidP="00620D49">
            <w:pPr>
              <w:jc w:val="both"/>
            </w:pPr>
            <w:r>
              <w:t xml:space="preserve">Za </w:t>
            </w:r>
            <w:r w:rsidRPr="00620D49">
              <w:rPr>
                <w:b/>
              </w:rPr>
              <w:t>zpracování</w:t>
            </w:r>
            <w:r>
              <w:t xml:space="preserve"> se pak na základě čl. 4 odst. 2 GDPR považuje „</w:t>
            </w:r>
            <w:r w:rsidRPr="00620D49">
              <w:rPr>
                <w:i/>
              </w:rPr>
              <w:t>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r>
              <w:t>“.</w:t>
            </w:r>
          </w:p>
          <w:p w:rsidR="00620D49" w:rsidRDefault="00620D49" w:rsidP="00811C9D"/>
          <w:p w:rsidR="00945DE5" w:rsidRDefault="00945DE5" w:rsidP="00945DE5">
            <w:pPr>
              <w:jc w:val="both"/>
            </w:pPr>
            <w:r>
              <w:t>CN není orgánem veřejné moci ani neplní úkoly ve veřejném zájmu, proto i vzhledem k velikosti organizace nebyl ustanoven pověřenec pro ochranu osobních údajů.</w:t>
            </w:r>
          </w:p>
          <w:p w:rsidR="00945DE5" w:rsidRDefault="00945DE5" w:rsidP="00811C9D"/>
        </w:tc>
      </w:tr>
      <w:tr w:rsidR="00811C9D" w:rsidTr="00B46E11">
        <w:tc>
          <w:tcPr>
            <w:tcW w:w="10912" w:type="dxa"/>
            <w:gridSpan w:val="2"/>
            <w:shd w:val="clear" w:color="auto" w:fill="FFFF00"/>
          </w:tcPr>
          <w:p w:rsidR="00811C9D" w:rsidRPr="00811C9D" w:rsidRDefault="00811C9D" w:rsidP="00811C9D">
            <w:pPr>
              <w:pStyle w:val="Odstavecseseznamem"/>
              <w:numPr>
                <w:ilvl w:val="0"/>
                <w:numId w:val="1"/>
              </w:numPr>
              <w:rPr>
                <w:b/>
              </w:rPr>
            </w:pPr>
            <w:r w:rsidRPr="00811C9D">
              <w:rPr>
                <w:b/>
                <w:sz w:val="24"/>
              </w:rPr>
              <w:t>Kategorie subjektu údajů</w:t>
            </w:r>
          </w:p>
        </w:tc>
      </w:tr>
      <w:tr w:rsidR="00811C9D" w:rsidTr="00B46E11">
        <w:tc>
          <w:tcPr>
            <w:tcW w:w="10912" w:type="dxa"/>
            <w:gridSpan w:val="2"/>
            <w:tcBorders>
              <w:bottom w:val="single" w:sz="4" w:space="0" w:color="auto"/>
            </w:tcBorders>
          </w:tcPr>
          <w:p w:rsidR="00811C9D" w:rsidRPr="00811C9D" w:rsidRDefault="00811C9D" w:rsidP="00811C9D">
            <w:pPr>
              <w:rPr>
                <w:b/>
              </w:rPr>
            </w:pPr>
            <w:r w:rsidRPr="00811C9D">
              <w:rPr>
                <w:b/>
              </w:rPr>
              <w:t>Veřejné zakázky:</w:t>
            </w:r>
          </w:p>
          <w:p w:rsidR="00811C9D" w:rsidRDefault="00811C9D" w:rsidP="00811C9D">
            <w:r>
              <w:t>Osoby zastupující dodavatele (účastníky)</w:t>
            </w:r>
          </w:p>
          <w:p w:rsidR="00811C9D" w:rsidRDefault="00811C9D" w:rsidP="00811C9D">
            <w:r>
              <w:t>Osoby zastupující zadavatele</w:t>
            </w:r>
          </w:p>
          <w:p w:rsidR="00811C9D" w:rsidRDefault="00811C9D" w:rsidP="00811C9D">
            <w:r>
              <w:t>Osoby zastupující administrátora CN</w:t>
            </w:r>
          </w:p>
          <w:p w:rsidR="00811C9D" w:rsidRDefault="00811C9D" w:rsidP="00811C9D">
            <w:r>
              <w:t>Zástupci Krajského úřadu PK</w:t>
            </w:r>
          </w:p>
          <w:p w:rsidR="00811C9D" w:rsidRDefault="00811C9D" w:rsidP="00811C9D">
            <w:r>
              <w:lastRenderedPageBreak/>
              <w:t>Přizvaní odborníci</w:t>
            </w:r>
          </w:p>
          <w:p w:rsidR="00811C9D" w:rsidRDefault="00811C9D" w:rsidP="00811C9D"/>
          <w:p w:rsidR="00811C9D" w:rsidRPr="00811C9D" w:rsidRDefault="00811C9D" w:rsidP="00811C9D">
            <w:pPr>
              <w:rPr>
                <w:b/>
              </w:rPr>
            </w:pPr>
            <w:r w:rsidRPr="00811C9D">
              <w:rPr>
                <w:b/>
              </w:rPr>
              <w:t>Personalistika:</w:t>
            </w:r>
          </w:p>
          <w:p w:rsidR="00811C9D" w:rsidRDefault="00811C9D" w:rsidP="00811C9D">
            <w:r>
              <w:t>Zaměstnanci</w:t>
            </w:r>
          </w:p>
          <w:p w:rsidR="00811C9D" w:rsidRDefault="00811C9D" w:rsidP="00811C9D">
            <w:r>
              <w:t>Vedoucí oddělení</w:t>
            </w:r>
          </w:p>
          <w:p w:rsidR="00811C9D" w:rsidRDefault="00811C9D" w:rsidP="00811C9D">
            <w:r>
              <w:t>Ředitelka</w:t>
            </w:r>
          </w:p>
          <w:p w:rsidR="00811C9D" w:rsidRDefault="00811C9D" w:rsidP="00811C9D">
            <w:r>
              <w:t>Bývalí pracovníci</w:t>
            </w:r>
          </w:p>
          <w:p w:rsidR="00811C9D" w:rsidRDefault="00811C9D" w:rsidP="00811C9D">
            <w:r>
              <w:t>Uchazeči o zaměstnání</w:t>
            </w:r>
          </w:p>
          <w:p w:rsidR="00811C9D" w:rsidRDefault="00811C9D" w:rsidP="00811C9D">
            <w:r>
              <w:t>Členové výběrové komise</w:t>
            </w:r>
          </w:p>
        </w:tc>
      </w:tr>
      <w:tr w:rsidR="00811C9D" w:rsidTr="00B46E11">
        <w:tc>
          <w:tcPr>
            <w:tcW w:w="10912" w:type="dxa"/>
            <w:gridSpan w:val="2"/>
            <w:shd w:val="clear" w:color="auto" w:fill="FFFF00"/>
          </w:tcPr>
          <w:p w:rsidR="00811C9D" w:rsidRPr="00811C9D" w:rsidRDefault="00811C9D" w:rsidP="00811C9D">
            <w:pPr>
              <w:pStyle w:val="Odstavecseseznamem"/>
              <w:numPr>
                <w:ilvl w:val="0"/>
                <w:numId w:val="1"/>
              </w:numPr>
              <w:rPr>
                <w:b/>
              </w:rPr>
            </w:pPr>
            <w:r>
              <w:rPr>
                <w:b/>
              </w:rPr>
              <w:lastRenderedPageBreak/>
              <w:t>Kategorie osobních údajů</w:t>
            </w:r>
          </w:p>
        </w:tc>
      </w:tr>
      <w:tr w:rsidR="00811C9D" w:rsidTr="00B46E11">
        <w:tc>
          <w:tcPr>
            <w:tcW w:w="10912" w:type="dxa"/>
            <w:gridSpan w:val="2"/>
            <w:tcBorders>
              <w:bottom w:val="single" w:sz="4" w:space="0" w:color="auto"/>
            </w:tcBorders>
          </w:tcPr>
          <w:p w:rsidR="00811C9D" w:rsidRDefault="00811C9D" w:rsidP="00811C9D">
            <w:pPr>
              <w:rPr>
                <w:b/>
              </w:rPr>
            </w:pPr>
            <w:r>
              <w:rPr>
                <w:b/>
              </w:rPr>
              <w:t>Veřejné zakázky:</w:t>
            </w:r>
          </w:p>
          <w:p w:rsidR="00811C9D" w:rsidRDefault="002F24EF" w:rsidP="002F24EF">
            <w:pPr>
              <w:pStyle w:val="Odstavecseseznamem"/>
              <w:numPr>
                <w:ilvl w:val="0"/>
                <w:numId w:val="2"/>
              </w:numPr>
            </w:pPr>
            <w:r w:rsidRPr="002F24EF">
              <w:t>Základní identifikační údaje dodavatelů</w:t>
            </w:r>
            <w:r w:rsidR="00FD2A7A">
              <w:t xml:space="preserve"> nebo poddodavatelů</w:t>
            </w:r>
            <w:r w:rsidRPr="002F24EF">
              <w:t>, kteří jsou fyzickými osobami</w:t>
            </w:r>
            <w:r w:rsidR="00FD2A7A">
              <w:t>, příp. jejich doklady o kvalifikaci</w:t>
            </w:r>
          </w:p>
          <w:p w:rsidR="00FD2A7A" w:rsidRPr="002F24EF" w:rsidRDefault="00FD2A7A" w:rsidP="00FD2A7A">
            <w:pPr>
              <w:pStyle w:val="Odstavecseseznamem"/>
              <w:numPr>
                <w:ilvl w:val="0"/>
                <w:numId w:val="2"/>
              </w:numPr>
            </w:pPr>
            <w:r w:rsidRPr="00FD2A7A">
              <w:t>Označení fyzických osob jednajících za dodavatele</w:t>
            </w:r>
          </w:p>
          <w:p w:rsidR="002F24EF" w:rsidRDefault="002F24EF" w:rsidP="002F24EF">
            <w:pPr>
              <w:pStyle w:val="Odstavecseseznamem"/>
              <w:numPr>
                <w:ilvl w:val="0"/>
                <w:numId w:val="2"/>
              </w:numPr>
            </w:pPr>
            <w:r w:rsidRPr="002F24EF">
              <w:t>Výpis z Rejstříku trestů pro fyzické osoby</w:t>
            </w:r>
            <w:r>
              <w:t xml:space="preserve"> dodavatele a poddodavatele</w:t>
            </w:r>
          </w:p>
          <w:p w:rsidR="002F24EF" w:rsidRDefault="002F24EF" w:rsidP="002F24EF">
            <w:pPr>
              <w:pStyle w:val="Odstavecseseznamem"/>
              <w:numPr>
                <w:ilvl w:val="0"/>
                <w:numId w:val="2"/>
              </w:numPr>
            </w:pPr>
            <w:r>
              <w:t xml:space="preserve">Doklady o vzdělání a </w:t>
            </w:r>
            <w:r w:rsidR="00FD2A7A">
              <w:t xml:space="preserve">odborné </w:t>
            </w:r>
            <w:r>
              <w:t>kvalifikaci u pracovníků dodavatele a jeho poddodavatele (technik, projektant, informatik apod.)</w:t>
            </w:r>
            <w:r w:rsidR="00FD2A7A">
              <w:t xml:space="preserve"> – seznam techniků, kteří se budou podílet na plnění VZ, doklady o členství v profesních organizacích nebo o odborně způsobilých osobách</w:t>
            </w:r>
          </w:p>
          <w:p w:rsidR="00FD2A7A" w:rsidRDefault="00FD2A7A" w:rsidP="002F24EF">
            <w:pPr>
              <w:pStyle w:val="Odstavecseseznamem"/>
              <w:numPr>
                <w:ilvl w:val="0"/>
                <w:numId w:val="2"/>
              </w:numPr>
            </w:pPr>
            <w:r>
              <w:t>Údaje o osobách odpovědných za plnění veřejné zakázky</w:t>
            </w:r>
          </w:p>
          <w:p w:rsidR="002F24EF" w:rsidRDefault="002F24EF" w:rsidP="002F24EF">
            <w:pPr>
              <w:pStyle w:val="Odstavecseseznamem"/>
              <w:numPr>
                <w:ilvl w:val="0"/>
                <w:numId w:val="2"/>
              </w:numPr>
            </w:pPr>
            <w:r>
              <w:t>Jména a příjmení členů týmu dodavatele a poddodavatele</w:t>
            </w:r>
          </w:p>
          <w:p w:rsidR="00FD2A7A" w:rsidRDefault="00FD2A7A" w:rsidP="002F24EF">
            <w:pPr>
              <w:pStyle w:val="Odstavecseseznamem"/>
              <w:numPr>
                <w:ilvl w:val="0"/>
                <w:numId w:val="2"/>
              </w:numPr>
            </w:pPr>
            <w:r>
              <w:t>Označení fyzických osob v zprávě o hodnocení nabídek nebo v písemné zprávě zadavatele</w:t>
            </w:r>
          </w:p>
          <w:p w:rsidR="002F24EF" w:rsidRDefault="002F24EF" w:rsidP="002F24EF">
            <w:pPr>
              <w:pStyle w:val="Odstavecseseznamem"/>
              <w:numPr>
                <w:ilvl w:val="0"/>
                <w:numId w:val="2"/>
              </w:numPr>
            </w:pPr>
            <w:r>
              <w:t>Jména a příjmení skutečných majitelů dodavatele, jejich identifikační údaje</w:t>
            </w:r>
          </w:p>
          <w:p w:rsidR="00FD2A7A" w:rsidRDefault="00FD2A7A" w:rsidP="002F24EF">
            <w:pPr>
              <w:pStyle w:val="Odstavecseseznamem"/>
              <w:numPr>
                <w:ilvl w:val="0"/>
                <w:numId w:val="2"/>
              </w:numPr>
            </w:pPr>
            <w:r>
              <w:t>Kontaktní osoby na straně zadavatele a CN ve formulářích ve Věstníku veřejných zakázek a v Úředním věstníku EU (TED)</w:t>
            </w:r>
          </w:p>
          <w:p w:rsidR="00FD2A7A" w:rsidRDefault="00FD2A7A" w:rsidP="002F24EF">
            <w:pPr>
              <w:pStyle w:val="Odstavecseseznamem"/>
              <w:numPr>
                <w:ilvl w:val="0"/>
                <w:numId w:val="2"/>
              </w:numPr>
            </w:pPr>
            <w:r>
              <w:t>Údaje o osobách, které se podílely na vypracování zadávací dokumentace nebo předběžných tržních konzultacích</w:t>
            </w:r>
          </w:p>
          <w:p w:rsidR="00811C9D" w:rsidRDefault="00811C9D" w:rsidP="00811C9D">
            <w:pPr>
              <w:rPr>
                <w:b/>
              </w:rPr>
            </w:pPr>
          </w:p>
          <w:p w:rsidR="00811C9D" w:rsidRDefault="00811C9D" w:rsidP="00811C9D">
            <w:pPr>
              <w:rPr>
                <w:b/>
              </w:rPr>
            </w:pPr>
            <w:r>
              <w:rPr>
                <w:b/>
              </w:rPr>
              <w:t>Personalistika:</w:t>
            </w:r>
          </w:p>
          <w:p w:rsidR="00811C9D" w:rsidRDefault="00811C9D" w:rsidP="00811C9D">
            <w:pPr>
              <w:pStyle w:val="Odstavecseseznamem"/>
              <w:numPr>
                <w:ilvl w:val="0"/>
                <w:numId w:val="2"/>
              </w:numPr>
            </w:pPr>
            <w:r>
              <w:t>Základní identifikační údaje, státní občanství, rodné číslo,</w:t>
            </w:r>
            <w:r w:rsidR="002F24EF">
              <w:t xml:space="preserve"> osobní údaje z profesního životopisu, doklady o vzdělání a další doklady z výběrového řízení, údaje potřebné pro odměňování a pro plnění povinností zaměstnavatele vůči orgánům finanční správy, orgánům sociálního zabezpečení a vůči zdravotním pojišťovnám.</w:t>
            </w:r>
          </w:p>
          <w:p w:rsidR="002F24EF" w:rsidRPr="00811C9D" w:rsidRDefault="002F24EF" w:rsidP="00811C9D">
            <w:pPr>
              <w:pStyle w:val="Odstavecseseznamem"/>
              <w:numPr>
                <w:ilvl w:val="0"/>
                <w:numId w:val="2"/>
              </w:numPr>
            </w:pPr>
            <w:r>
              <w:t>Údaje o zdravotní způsobilosti, údaje o zdravotním stavu nezbytné pro naplňování práv a povinností v právních vztazích mezi správcem a subjektem údajů</w:t>
            </w:r>
          </w:p>
        </w:tc>
      </w:tr>
      <w:tr w:rsidR="002F24EF" w:rsidTr="00B46E11">
        <w:tc>
          <w:tcPr>
            <w:tcW w:w="10912" w:type="dxa"/>
            <w:gridSpan w:val="2"/>
            <w:shd w:val="clear" w:color="auto" w:fill="FFFF00"/>
          </w:tcPr>
          <w:p w:rsidR="002F24EF" w:rsidRPr="002F24EF" w:rsidRDefault="002F24EF" w:rsidP="002F24EF">
            <w:pPr>
              <w:pStyle w:val="Odstavecseseznamem"/>
              <w:numPr>
                <w:ilvl w:val="0"/>
                <w:numId w:val="1"/>
              </w:numPr>
              <w:rPr>
                <w:b/>
              </w:rPr>
            </w:pPr>
            <w:r>
              <w:rPr>
                <w:b/>
              </w:rPr>
              <w:t>Kategorie příjemců</w:t>
            </w:r>
          </w:p>
        </w:tc>
      </w:tr>
      <w:tr w:rsidR="002F24EF" w:rsidTr="00620D49">
        <w:tc>
          <w:tcPr>
            <w:tcW w:w="10912" w:type="dxa"/>
            <w:gridSpan w:val="2"/>
            <w:tcBorders>
              <w:bottom w:val="single" w:sz="4" w:space="0" w:color="auto"/>
            </w:tcBorders>
          </w:tcPr>
          <w:p w:rsidR="002F24EF" w:rsidRDefault="002F24EF" w:rsidP="002F24EF">
            <w:pPr>
              <w:rPr>
                <w:b/>
              </w:rPr>
            </w:pPr>
            <w:r>
              <w:rPr>
                <w:b/>
              </w:rPr>
              <w:t>Veřejné zakázky:</w:t>
            </w:r>
          </w:p>
          <w:p w:rsidR="002F24EF" w:rsidRDefault="002F24EF" w:rsidP="002F24EF">
            <w:pPr>
              <w:pStyle w:val="Odstavecseseznamem"/>
              <w:numPr>
                <w:ilvl w:val="0"/>
                <w:numId w:val="2"/>
              </w:numPr>
            </w:pPr>
            <w:r>
              <w:t>Zadavatelé (Plzeňský kraj, organizace Plzeňským krajem založené nebo zřízené)</w:t>
            </w:r>
            <w:r w:rsidR="00B46E11">
              <w:t>, dodavatelé, účastníci poptávkových a zadávacích řízení, oprávněné kontrolní orgány, poskytovatelé dotace, smluvní externí poradci, jmenovaní členové komisí nebo osoby pověřené kontrolou nabídek.</w:t>
            </w:r>
          </w:p>
          <w:p w:rsidR="002F24EF" w:rsidRDefault="002F24EF" w:rsidP="002F24EF"/>
          <w:p w:rsidR="002F24EF" w:rsidRPr="002F24EF" w:rsidRDefault="002F24EF" w:rsidP="002F24EF">
            <w:pPr>
              <w:rPr>
                <w:b/>
              </w:rPr>
            </w:pPr>
            <w:r w:rsidRPr="002F24EF">
              <w:rPr>
                <w:b/>
              </w:rPr>
              <w:t>Personalistika:</w:t>
            </w:r>
          </w:p>
          <w:p w:rsidR="00620D49" w:rsidRPr="002F24EF" w:rsidRDefault="002F24EF" w:rsidP="00620D49">
            <w:pPr>
              <w:pStyle w:val="Odstavecseseznamem"/>
              <w:numPr>
                <w:ilvl w:val="0"/>
                <w:numId w:val="2"/>
              </w:numPr>
            </w:pPr>
            <w:r>
              <w:t xml:space="preserve">Orgány finanční správy, orgány sociálního zabezpečení, zdravotní pojišťovny, Úřad práce, </w:t>
            </w:r>
            <w:r w:rsidRPr="00E960BA">
              <w:t>externí účetní společnost, Krajský úřad PK</w:t>
            </w:r>
            <w:r w:rsidR="00620D49" w:rsidRPr="00E960BA">
              <w:t>.</w:t>
            </w:r>
          </w:p>
        </w:tc>
      </w:tr>
      <w:tr w:rsidR="00B46E11" w:rsidTr="00620D49">
        <w:tc>
          <w:tcPr>
            <w:tcW w:w="10912" w:type="dxa"/>
            <w:gridSpan w:val="2"/>
            <w:shd w:val="clear" w:color="auto" w:fill="FFFF00"/>
          </w:tcPr>
          <w:p w:rsidR="00B46E11" w:rsidRPr="00B46E11" w:rsidRDefault="00B46E11" w:rsidP="00B46E11">
            <w:pPr>
              <w:pStyle w:val="Odstavecseseznamem"/>
              <w:numPr>
                <w:ilvl w:val="0"/>
                <w:numId w:val="1"/>
              </w:numPr>
              <w:rPr>
                <w:b/>
              </w:rPr>
            </w:pPr>
            <w:r>
              <w:rPr>
                <w:b/>
              </w:rPr>
              <w:t>Plánované lhůty pro výmaz kategorií osobních údajů</w:t>
            </w:r>
          </w:p>
        </w:tc>
      </w:tr>
      <w:tr w:rsidR="00B46E11" w:rsidTr="00620D49">
        <w:tc>
          <w:tcPr>
            <w:tcW w:w="10912" w:type="dxa"/>
            <w:gridSpan w:val="2"/>
            <w:tcBorders>
              <w:bottom w:val="single" w:sz="4" w:space="0" w:color="auto"/>
            </w:tcBorders>
          </w:tcPr>
          <w:p w:rsidR="00B46E11" w:rsidRDefault="00B46E11" w:rsidP="00B46E11">
            <w:pPr>
              <w:rPr>
                <w:b/>
              </w:rPr>
            </w:pPr>
            <w:r>
              <w:rPr>
                <w:b/>
              </w:rPr>
              <w:t>Veřejné zakázky:</w:t>
            </w:r>
          </w:p>
          <w:p w:rsidR="00B46E11" w:rsidRDefault="00B46E11" w:rsidP="00710DCF">
            <w:pPr>
              <w:jc w:val="both"/>
            </w:pPr>
            <w:r>
              <w:t>U veřejných zakázek, u nichž je zadavatelem CN, jsou osobní údaje zpracovávány po celou dobu poptávkového nebo zadávacího řízení, následně po dobu trvání smluvního vztahu se subjektem údajů až do uplynutí skartační lhůty.</w:t>
            </w:r>
          </w:p>
          <w:p w:rsidR="00B46E11" w:rsidRDefault="00B46E11" w:rsidP="00710DCF">
            <w:pPr>
              <w:jc w:val="both"/>
            </w:pPr>
            <w:r>
              <w:t>V případě veřejných zakázek administrovaných CN, zpracovává CN osobní údaje od založení spisu veřejné zakázky po dobu trvání poptávkového nebo zadávacího řízení až do předání spisu a nabídek zadavateli veřejné zakázky.</w:t>
            </w:r>
          </w:p>
          <w:p w:rsidR="00B46E11" w:rsidRDefault="00B46E11" w:rsidP="00710DCF">
            <w:pPr>
              <w:jc w:val="both"/>
            </w:pPr>
            <w:r>
              <w:t xml:space="preserve">Skartační lhůta u veřejných zakázek malého rozsahu činí 5 let, u podlimitních a nadlimitních veřejných zakázek 10 let ode dne </w:t>
            </w:r>
            <w:r w:rsidR="00710DCF">
              <w:t>ukončení zadávacího řízení nebo od změny závazku ze smlouvy. Právní předpis nebo pravidla poskytovatele dotace mohou stanovit delší lhůtu.</w:t>
            </w:r>
          </w:p>
          <w:p w:rsidR="00710DCF" w:rsidRDefault="00710DCF" w:rsidP="00710DCF">
            <w:pPr>
              <w:jc w:val="both"/>
            </w:pPr>
            <w:r>
              <w:lastRenderedPageBreak/>
              <w:t>Dokumentace nabídkového řízení v dopravě se uchovává po dobu 5 let od ukončení účinnosti smlouvy nebo ode dne zrušení nabídkového řízení.</w:t>
            </w:r>
          </w:p>
          <w:p w:rsidR="00945DE5" w:rsidRDefault="00945DE5" w:rsidP="00710DCF">
            <w:pPr>
              <w:jc w:val="both"/>
            </w:pPr>
          </w:p>
          <w:p w:rsidR="00945DE5" w:rsidRPr="00B46E11" w:rsidRDefault="00945DE5" w:rsidP="00710DCF">
            <w:pPr>
              <w:jc w:val="both"/>
            </w:pPr>
            <w:r>
              <w:t>Subjekt údajů je oprávněn požádat o výmaz údajů až po uplynutí skartační doby.</w:t>
            </w:r>
          </w:p>
          <w:p w:rsidR="00B46E11" w:rsidRDefault="00B46E11" w:rsidP="00B46E11">
            <w:pPr>
              <w:rPr>
                <w:b/>
              </w:rPr>
            </w:pPr>
          </w:p>
          <w:p w:rsidR="00B46E11" w:rsidRDefault="00B46E11" w:rsidP="00B46E11">
            <w:pPr>
              <w:rPr>
                <w:b/>
              </w:rPr>
            </w:pPr>
            <w:r>
              <w:rPr>
                <w:b/>
              </w:rPr>
              <w:t>Personalistika:</w:t>
            </w:r>
          </w:p>
          <w:p w:rsidR="00710DCF" w:rsidRDefault="00710DCF" w:rsidP="00B46E11">
            <w:r>
              <w:t xml:space="preserve">Personální osobní údaje jsou zpracovávány po </w:t>
            </w:r>
            <w:proofErr w:type="gramStart"/>
            <w:r>
              <w:t>dobu  trvání</w:t>
            </w:r>
            <w:proofErr w:type="gramEnd"/>
            <w:r>
              <w:t xml:space="preserve"> právního vztahu se subjektem údajů, prodlouženou o dobu nezbytnou se zřetelem k případným kontrolám a k uplatňování práv u obecných soudů.</w:t>
            </w:r>
          </w:p>
          <w:p w:rsidR="00620D49" w:rsidRPr="00710DCF" w:rsidRDefault="00710DCF" w:rsidP="00B46E11">
            <w:r>
              <w:t xml:space="preserve">Uplatní se </w:t>
            </w:r>
            <w:r w:rsidRPr="00E960BA">
              <w:t>skartační lhůty</w:t>
            </w:r>
            <w:r>
              <w:t xml:space="preserve"> stanovené skartačním a spisovým řádem.</w:t>
            </w:r>
          </w:p>
        </w:tc>
      </w:tr>
      <w:tr w:rsidR="00710DCF" w:rsidRPr="00620D49" w:rsidTr="00620D49">
        <w:tc>
          <w:tcPr>
            <w:tcW w:w="10912" w:type="dxa"/>
            <w:gridSpan w:val="2"/>
            <w:shd w:val="clear" w:color="auto" w:fill="FFFF00"/>
          </w:tcPr>
          <w:p w:rsidR="00710DCF" w:rsidRPr="00620D49" w:rsidRDefault="00710DCF" w:rsidP="00710DCF">
            <w:pPr>
              <w:pStyle w:val="Odstavecseseznamem"/>
              <w:numPr>
                <w:ilvl w:val="0"/>
                <w:numId w:val="1"/>
              </w:numPr>
              <w:rPr>
                <w:b/>
                <w:highlight w:val="yellow"/>
              </w:rPr>
            </w:pPr>
            <w:r w:rsidRPr="00620D49">
              <w:rPr>
                <w:b/>
                <w:highlight w:val="yellow"/>
              </w:rPr>
              <w:lastRenderedPageBreak/>
              <w:t>Popis technických a organizačních bezpečnostních opatření</w:t>
            </w:r>
          </w:p>
        </w:tc>
      </w:tr>
      <w:tr w:rsidR="00710DCF" w:rsidTr="00772F77">
        <w:tc>
          <w:tcPr>
            <w:tcW w:w="10912" w:type="dxa"/>
            <w:gridSpan w:val="2"/>
          </w:tcPr>
          <w:p w:rsidR="00710DCF" w:rsidRDefault="00710DCF" w:rsidP="00710DCF">
            <w:pPr>
              <w:rPr>
                <w:b/>
              </w:rPr>
            </w:pPr>
            <w:r>
              <w:rPr>
                <w:b/>
              </w:rPr>
              <w:t>Veřejné zakázky:</w:t>
            </w:r>
          </w:p>
          <w:p w:rsidR="00710DCF" w:rsidRDefault="00710DCF" w:rsidP="00710DCF">
            <w:r>
              <w:t>K osobním údajům má přístup pouze zaměstnanec, který je pověřen administrací veřejné zakázky.</w:t>
            </w:r>
          </w:p>
          <w:p w:rsidR="00FD2A7A" w:rsidRDefault="00FD2A7A" w:rsidP="00710DCF"/>
          <w:p w:rsidR="00FD2A7A" w:rsidRDefault="00FD2A7A" w:rsidP="00710DCF">
            <w:r>
              <w:t>Členové komise, osoby pověřené kontrolou nabídek nebo zpracovatelé zadávací dokumentace podepisují na začátku prohlášení o střetu zájmů a mlčenlivosti.</w:t>
            </w:r>
          </w:p>
          <w:p w:rsidR="00401E6D" w:rsidRDefault="00401E6D" w:rsidP="00710DCF"/>
          <w:p w:rsidR="00401E6D" w:rsidRDefault="00401E6D" w:rsidP="00620D49">
            <w:pPr>
              <w:jc w:val="both"/>
            </w:pPr>
            <w:r>
              <w:t xml:space="preserve">Veřejné zakázky dokončené před říjnem 2018 a veřejné zakázky malého rozsahu jsou archivovány převážně v listinných šanonech. </w:t>
            </w:r>
            <w:r w:rsidR="00620D49">
              <w:t xml:space="preserve">Každý zaměstnanec je povinen uzamykat skříň se šanony a citlivými dokumenty. </w:t>
            </w:r>
            <w:r>
              <w:t>Spisy zakázek administrovaných CN jsou neprodleně po ukončení řízení protokolárně předány příslušnému zadavateli. Spisy veřejných zakázek, u kterých je CN zadavatelem, jsou po ukončení řízení přesunuty do archivu CN, od kterého má klíč pracovnice podatelny – asistentka.</w:t>
            </w:r>
          </w:p>
          <w:p w:rsidR="00401E6D" w:rsidRDefault="00401E6D" w:rsidP="00620D49">
            <w:pPr>
              <w:jc w:val="both"/>
            </w:pPr>
            <w:r>
              <w:t>Informace o realizovaných veřejných zakázkách, osobní údaje a nabídky v elektronické podobě jsou uloženy v systému E-ZAK, který je certifikovaným elektronickým nástrojem</w:t>
            </w:r>
            <w:r w:rsidR="00945DE5">
              <w:t xml:space="preserve"> podle § 213 ZZVZ a vyhlášky č. 260/2016 Sb</w:t>
            </w:r>
            <w:r>
              <w:t>. Přístup ke konkrétní zakázce má k dispozici pověřený zaměstnanec CN a příslušný zadavatel, kteří se do systému dostanou po přihlášení pod svým heslem.</w:t>
            </w:r>
          </w:p>
          <w:p w:rsidR="00401E6D" w:rsidRDefault="00401E6D" w:rsidP="00620D49">
            <w:pPr>
              <w:jc w:val="both"/>
            </w:pPr>
            <w:r>
              <w:t xml:space="preserve">Dokumenty o každé realizované veřejné zakázce jsou uloženy v elektronické spisové službě </w:t>
            </w:r>
            <w:proofErr w:type="spellStart"/>
            <w:r>
              <w:t>Athena</w:t>
            </w:r>
            <w:proofErr w:type="spellEnd"/>
            <w:r>
              <w:t>. Přístup do spisu má pouze zaměstnanec pověřený administrací konkrétní zakázky</w:t>
            </w:r>
            <w:r w:rsidR="00E960BA">
              <w:t xml:space="preserve">, </w:t>
            </w:r>
            <w:r w:rsidR="00E960BA" w:rsidRPr="000B0878">
              <w:t>zaměstnanec pověřený kompletním vedením a zabezpečením spisové služby v rámci organizace</w:t>
            </w:r>
            <w:r>
              <w:t xml:space="preserve"> a informatik. Dotyčný zaměstnanec může zpřístupnit dočasně spis svému zástupci po dobu nepřítomnosti. Po ukončení veřejné zakázky a předání spisu je spis v systému </w:t>
            </w:r>
            <w:proofErr w:type="spellStart"/>
            <w:r>
              <w:t>Athena</w:t>
            </w:r>
            <w:proofErr w:type="spellEnd"/>
            <w:r>
              <w:t xml:space="preserve"> uzamčen a přesunut do archivu, </w:t>
            </w:r>
            <w:r w:rsidR="00620D49">
              <w:t>přístup má jen informatik.</w:t>
            </w:r>
          </w:p>
          <w:p w:rsidR="00620D49" w:rsidRDefault="00620D49" w:rsidP="00620D49">
            <w:pPr>
              <w:jc w:val="both"/>
            </w:pPr>
            <w:r>
              <w:t>Po uplynutí skartační lhůty veřejné zakázky provede skartační komise CN vypořádání spisu.</w:t>
            </w:r>
          </w:p>
          <w:p w:rsidR="00710DCF" w:rsidRDefault="00710DCF" w:rsidP="00710DCF"/>
          <w:p w:rsidR="00710DCF" w:rsidRPr="00710DCF" w:rsidRDefault="00710DCF" w:rsidP="00710DCF">
            <w:pPr>
              <w:rPr>
                <w:b/>
              </w:rPr>
            </w:pPr>
            <w:r w:rsidRPr="00710DCF">
              <w:rPr>
                <w:b/>
              </w:rPr>
              <w:t>Personalistika:</w:t>
            </w:r>
          </w:p>
          <w:p w:rsidR="00710DCF" w:rsidRDefault="00710DCF" w:rsidP="00710DCF">
            <w:r>
              <w:t>K osobním údajům zaměstnanců má přístup pouze zaměstnanec pověřený vedením personální agendy a ředitelka CN. Personální dokumentace je uzamčena v kovové bytelné skříni, klíče má k d</w:t>
            </w:r>
            <w:r w:rsidR="00E960BA">
              <w:t>ispozici pověřená</w:t>
            </w:r>
            <w:r w:rsidR="00DF6467">
              <w:t xml:space="preserve"> personalistka </w:t>
            </w:r>
            <w:r w:rsidR="00DF6467" w:rsidRPr="000B0878">
              <w:t>a ředitelka CN. Ú</w:t>
            </w:r>
            <w:r w:rsidR="00E960BA" w:rsidRPr="000B0878">
              <w:t xml:space="preserve">daje, které jsou předávány externí účetní firmě, jsou předávány v souboru </w:t>
            </w:r>
            <w:proofErr w:type="gramStart"/>
            <w:r w:rsidR="00E960BA" w:rsidRPr="000B0878">
              <w:t>typu</w:t>
            </w:r>
            <w:proofErr w:type="gramEnd"/>
            <w:r w:rsidR="00E960BA" w:rsidRPr="000B0878">
              <w:t xml:space="preserve"> .</w:t>
            </w:r>
            <w:proofErr w:type="gramStart"/>
            <w:r w:rsidR="00E960BA" w:rsidRPr="000B0878">
              <w:t>zip</w:t>
            </w:r>
            <w:proofErr w:type="gramEnd"/>
            <w:r w:rsidR="00E960BA" w:rsidRPr="000B0878">
              <w:t>, zabezpečeny heslem, které zná pouze personalista a pověřený účetní z externí firmy.</w:t>
            </w:r>
          </w:p>
          <w:p w:rsidR="00620D49" w:rsidRDefault="00620D49" w:rsidP="00710DCF"/>
          <w:p w:rsidR="00620D49" w:rsidRPr="00710DCF" w:rsidRDefault="00620D49" w:rsidP="00620D49">
            <w:r>
              <w:t>Ředitelka CN a vedoucí oddělení průběžně kontrolují přístupy do systémů a nahlížení do spisů ze strany zaměstnanců a jiných osob.</w:t>
            </w:r>
            <w:r w:rsidR="00DF6467">
              <w:t xml:space="preserve"> </w:t>
            </w:r>
          </w:p>
        </w:tc>
      </w:tr>
      <w:tr w:rsidR="00620D49" w:rsidTr="00772F77">
        <w:tc>
          <w:tcPr>
            <w:tcW w:w="10912" w:type="dxa"/>
            <w:gridSpan w:val="2"/>
          </w:tcPr>
          <w:p w:rsidR="00620D49" w:rsidRDefault="000B0878" w:rsidP="00710DCF">
            <w:pPr>
              <w:rPr>
                <w:b/>
              </w:rPr>
            </w:pPr>
            <w:r>
              <w:rPr>
                <w:b/>
              </w:rPr>
              <w:t>V Plzni dne 19. 8</w:t>
            </w:r>
            <w:r w:rsidR="00945DE5">
              <w:rPr>
                <w:b/>
              </w:rPr>
              <w:t>. 2019</w:t>
            </w:r>
          </w:p>
          <w:p w:rsidR="00945DE5" w:rsidRDefault="00945DE5" w:rsidP="00710DCF">
            <w:pPr>
              <w:rPr>
                <w:b/>
              </w:rPr>
            </w:pPr>
          </w:p>
          <w:p w:rsidR="00620D49" w:rsidRDefault="00620D49" w:rsidP="00710DCF">
            <w:pPr>
              <w:rPr>
                <w:b/>
              </w:rPr>
            </w:pPr>
          </w:p>
          <w:p w:rsidR="00620D49" w:rsidRDefault="00620D49" w:rsidP="00710DCF">
            <w:pPr>
              <w:rPr>
                <w:b/>
              </w:rPr>
            </w:pPr>
          </w:p>
          <w:p w:rsidR="00620D49" w:rsidRPr="00945DE5" w:rsidRDefault="00620D49" w:rsidP="00710DCF">
            <w:pPr>
              <w:rPr>
                <w:b/>
                <w:sz w:val="24"/>
              </w:rPr>
            </w:pPr>
            <w:r w:rsidRPr="00945DE5">
              <w:rPr>
                <w:b/>
                <w:sz w:val="24"/>
              </w:rPr>
              <w:t>Mgr. et Bc. Jana Dubcová</w:t>
            </w:r>
          </w:p>
          <w:p w:rsidR="00620D49" w:rsidRDefault="00620D49" w:rsidP="00710DCF">
            <w:pPr>
              <w:rPr>
                <w:b/>
              </w:rPr>
            </w:pPr>
            <w:r>
              <w:rPr>
                <w:b/>
              </w:rPr>
              <w:t xml:space="preserve">Ředitelka </w:t>
            </w:r>
          </w:p>
          <w:p w:rsidR="00620D49" w:rsidRDefault="00620D49" w:rsidP="00710DCF">
            <w:pPr>
              <w:rPr>
                <w:b/>
              </w:rPr>
            </w:pPr>
            <w:r>
              <w:rPr>
                <w:b/>
              </w:rPr>
              <w:t>Centrální nákup, příspěvková organizace</w:t>
            </w:r>
          </w:p>
          <w:p w:rsidR="00620D49" w:rsidRDefault="00620D49" w:rsidP="00710DCF">
            <w:pPr>
              <w:rPr>
                <w:b/>
              </w:rPr>
            </w:pPr>
          </w:p>
        </w:tc>
      </w:tr>
      <w:tr w:rsidR="00620D49" w:rsidTr="00772F77">
        <w:tc>
          <w:tcPr>
            <w:tcW w:w="10912" w:type="dxa"/>
            <w:gridSpan w:val="2"/>
          </w:tcPr>
          <w:p w:rsidR="00620D49" w:rsidRPr="00620D49" w:rsidRDefault="00620D49" w:rsidP="00710DCF">
            <w:r w:rsidRPr="00620D49">
              <w:t>Vypracoval: Mgr. Richard Volín</w:t>
            </w:r>
            <w:r w:rsidR="000B0878">
              <w:t>, úprava personalistiky Ing. Silvie Hodanová</w:t>
            </w:r>
            <w:bookmarkStart w:id="0" w:name="_GoBack"/>
            <w:bookmarkEnd w:id="0"/>
          </w:p>
        </w:tc>
      </w:tr>
    </w:tbl>
    <w:p w:rsidR="00D74360" w:rsidRDefault="00D74360"/>
    <w:p w:rsidR="00620D49" w:rsidRDefault="00620D49"/>
    <w:sectPr w:rsidR="00620D49" w:rsidSect="00772F77">
      <w:footerReference w:type="default" r:id="rId7"/>
      <w:pgSz w:w="11906" w:h="16838"/>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88A" w:rsidRDefault="00E6588A" w:rsidP="00391CA2">
      <w:pPr>
        <w:spacing w:after="0" w:line="240" w:lineRule="auto"/>
      </w:pPr>
      <w:r>
        <w:separator/>
      </w:r>
    </w:p>
  </w:endnote>
  <w:endnote w:type="continuationSeparator" w:id="0">
    <w:p w:rsidR="00E6588A" w:rsidRDefault="00E6588A" w:rsidP="00391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053103"/>
      <w:docPartObj>
        <w:docPartGallery w:val="Page Numbers (Bottom of Page)"/>
        <w:docPartUnique/>
      </w:docPartObj>
    </w:sdtPr>
    <w:sdtEndPr/>
    <w:sdtContent>
      <w:p w:rsidR="00391CA2" w:rsidRDefault="00391CA2">
        <w:pPr>
          <w:pStyle w:val="Zpat"/>
          <w:jc w:val="center"/>
        </w:pPr>
        <w:r>
          <w:fldChar w:fldCharType="begin"/>
        </w:r>
        <w:r>
          <w:instrText>PAGE   \* MERGEFORMAT</w:instrText>
        </w:r>
        <w:r>
          <w:fldChar w:fldCharType="separate"/>
        </w:r>
        <w:r w:rsidR="00C32FEC">
          <w:rPr>
            <w:noProof/>
          </w:rPr>
          <w:t>3</w:t>
        </w:r>
        <w:r>
          <w:fldChar w:fldCharType="end"/>
        </w:r>
      </w:p>
    </w:sdtContent>
  </w:sdt>
  <w:p w:rsidR="00391CA2" w:rsidRDefault="00391CA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88A" w:rsidRDefault="00E6588A" w:rsidP="00391CA2">
      <w:pPr>
        <w:spacing w:after="0" w:line="240" w:lineRule="auto"/>
      </w:pPr>
      <w:r>
        <w:separator/>
      </w:r>
    </w:p>
  </w:footnote>
  <w:footnote w:type="continuationSeparator" w:id="0">
    <w:p w:rsidR="00E6588A" w:rsidRDefault="00E6588A" w:rsidP="00391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257FE"/>
    <w:multiLevelType w:val="hybridMultilevel"/>
    <w:tmpl w:val="13BC5DE8"/>
    <w:lvl w:ilvl="0" w:tplc="8A28A70C">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F412F50"/>
    <w:multiLevelType w:val="hybridMultilevel"/>
    <w:tmpl w:val="C44AF1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F6"/>
    <w:rsid w:val="000B0878"/>
    <w:rsid w:val="00145B14"/>
    <w:rsid w:val="001A51F6"/>
    <w:rsid w:val="001B64A7"/>
    <w:rsid w:val="002F24EF"/>
    <w:rsid w:val="00391CA2"/>
    <w:rsid w:val="00401E6D"/>
    <w:rsid w:val="0057078F"/>
    <w:rsid w:val="00620D49"/>
    <w:rsid w:val="00710DCF"/>
    <w:rsid w:val="00772F77"/>
    <w:rsid w:val="00811C9D"/>
    <w:rsid w:val="00945DE5"/>
    <w:rsid w:val="00A96AF7"/>
    <w:rsid w:val="00B46E11"/>
    <w:rsid w:val="00C32FEC"/>
    <w:rsid w:val="00D74360"/>
    <w:rsid w:val="00DF6467"/>
    <w:rsid w:val="00E51373"/>
    <w:rsid w:val="00E6588A"/>
    <w:rsid w:val="00E960BA"/>
    <w:rsid w:val="00FD2A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C7DAF-C91B-46F7-B5FC-67A15893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72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72F77"/>
    <w:pPr>
      <w:ind w:left="720"/>
      <w:contextualSpacing/>
    </w:pPr>
  </w:style>
  <w:style w:type="paragraph" w:styleId="Zhlav">
    <w:name w:val="header"/>
    <w:basedOn w:val="Normln"/>
    <w:link w:val="ZhlavChar"/>
    <w:uiPriority w:val="99"/>
    <w:unhideWhenUsed/>
    <w:rsid w:val="00391C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91CA2"/>
  </w:style>
  <w:style w:type="paragraph" w:styleId="Zpat">
    <w:name w:val="footer"/>
    <w:basedOn w:val="Normln"/>
    <w:link w:val="ZpatChar"/>
    <w:uiPriority w:val="99"/>
    <w:unhideWhenUsed/>
    <w:rsid w:val="00391CA2"/>
    <w:pPr>
      <w:tabs>
        <w:tab w:val="center" w:pos="4536"/>
        <w:tab w:val="right" w:pos="9072"/>
      </w:tabs>
      <w:spacing w:after="0" w:line="240" w:lineRule="auto"/>
    </w:pPr>
  </w:style>
  <w:style w:type="character" w:customStyle="1" w:styleId="ZpatChar">
    <w:name w:val="Zápatí Char"/>
    <w:basedOn w:val="Standardnpsmoodstavce"/>
    <w:link w:val="Zpat"/>
    <w:uiPriority w:val="99"/>
    <w:rsid w:val="00391CA2"/>
  </w:style>
  <w:style w:type="paragraph" w:styleId="Textbubliny">
    <w:name w:val="Balloon Text"/>
    <w:basedOn w:val="Normln"/>
    <w:link w:val="TextbublinyChar"/>
    <w:uiPriority w:val="99"/>
    <w:semiHidden/>
    <w:unhideWhenUsed/>
    <w:rsid w:val="0057078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7078F"/>
    <w:rPr>
      <w:rFonts w:ascii="Segoe UI" w:hAnsi="Segoe UI" w:cs="Segoe UI"/>
      <w:sz w:val="18"/>
      <w:szCs w:val="18"/>
    </w:rPr>
  </w:style>
  <w:style w:type="paragraph" w:styleId="Revize">
    <w:name w:val="Revision"/>
    <w:hidden/>
    <w:uiPriority w:val="99"/>
    <w:semiHidden/>
    <w:rsid w:val="00DF64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1317</Words>
  <Characters>7776</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Volín</dc:creator>
  <cp:keywords/>
  <dc:description/>
  <cp:lastModifiedBy>Jana Dubcová</cp:lastModifiedBy>
  <cp:revision>3</cp:revision>
  <cp:lastPrinted>2019-08-19T09:59:00Z</cp:lastPrinted>
  <dcterms:created xsi:type="dcterms:W3CDTF">2019-08-19T09:56:00Z</dcterms:created>
  <dcterms:modified xsi:type="dcterms:W3CDTF">2019-08-19T10:55:00Z</dcterms:modified>
</cp:coreProperties>
</file>